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32" w:rsidRPr="00EB2420" w:rsidRDefault="00B85180" w:rsidP="00EF4732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20">
        <w:rPr>
          <w:rFonts w:ascii="Times New Roman" w:hAnsi="Times New Roman" w:cs="Times New Roman"/>
          <w:b/>
          <w:sz w:val="32"/>
          <w:szCs w:val="32"/>
        </w:rPr>
        <w:t>HROMADNÁ PRIPOMIENKA</w:t>
      </w:r>
      <w:r w:rsidR="00C90FE2" w:rsidRPr="00EB24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54BC" w:rsidRPr="00EB2420" w:rsidRDefault="00EB2420" w:rsidP="00EB242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EB2420">
        <w:rPr>
          <w:rFonts w:ascii="Times New Roman" w:hAnsi="Times New Roman" w:cs="Times New Roman"/>
          <w:b/>
        </w:rPr>
        <w:t>k Územnému plánu hlavného mesta SR Bratislava rok 2007 v znení neskorších zmien a doplnkov, zmeny a doplnky 09</w:t>
      </w:r>
    </w:p>
    <w:p w:rsidR="00EB2420" w:rsidRDefault="00EB2420" w:rsidP="000942A4">
      <w:pPr>
        <w:spacing w:before="120" w:after="0"/>
        <w:rPr>
          <w:rFonts w:ascii="Times New Roman" w:hAnsi="Times New Roman" w:cs="Times New Roman"/>
        </w:rPr>
      </w:pPr>
    </w:p>
    <w:p w:rsidR="00B9757B" w:rsidRPr="00666C54" w:rsidRDefault="00B9757B" w:rsidP="000942A4">
      <w:pPr>
        <w:spacing w:before="120" w:after="0"/>
        <w:rPr>
          <w:rFonts w:ascii="Times New Roman" w:hAnsi="Times New Roman" w:cs="Times New Roman"/>
        </w:rPr>
      </w:pPr>
      <w:r w:rsidRPr="00666C54">
        <w:rPr>
          <w:rFonts w:ascii="Times New Roman" w:hAnsi="Times New Roman" w:cs="Times New Roman"/>
        </w:rPr>
        <w:t xml:space="preserve">My, </w:t>
      </w:r>
      <w:proofErr w:type="spellStart"/>
      <w:r w:rsidRPr="00666C54">
        <w:rPr>
          <w:rFonts w:ascii="Times New Roman" w:hAnsi="Times New Roman" w:cs="Times New Roman"/>
        </w:rPr>
        <w:t>dolupodpísa</w:t>
      </w:r>
      <w:r w:rsidR="00C90FE2">
        <w:rPr>
          <w:rFonts w:ascii="Times New Roman" w:hAnsi="Times New Roman" w:cs="Times New Roman"/>
        </w:rPr>
        <w:t>ní</w:t>
      </w:r>
      <w:proofErr w:type="spellEnd"/>
      <w:r w:rsidR="00C90FE2">
        <w:rPr>
          <w:rFonts w:ascii="Times New Roman" w:hAnsi="Times New Roman" w:cs="Times New Roman"/>
        </w:rPr>
        <w:t xml:space="preserve"> obyvatelia hlavného mesta SR Bratislavy a </w:t>
      </w:r>
      <w:r w:rsidR="00424F20">
        <w:rPr>
          <w:rFonts w:ascii="Times New Roman" w:hAnsi="Times New Roman" w:cs="Times New Roman"/>
        </w:rPr>
        <w:t xml:space="preserve">najmä mestskej časti </w:t>
      </w:r>
      <w:proofErr w:type="spellStart"/>
      <w:r w:rsidR="00424F20">
        <w:rPr>
          <w:rFonts w:ascii="Times New Roman" w:hAnsi="Times New Roman" w:cs="Times New Roman"/>
        </w:rPr>
        <w:t>Bratislava-</w:t>
      </w:r>
      <w:r w:rsidR="00C90FE2">
        <w:rPr>
          <w:rFonts w:ascii="Times New Roman" w:hAnsi="Times New Roman" w:cs="Times New Roman"/>
        </w:rPr>
        <w:t>Petržalka</w:t>
      </w:r>
      <w:proofErr w:type="spellEnd"/>
      <w:r w:rsidR="00327F1A" w:rsidRPr="00666C54">
        <w:rPr>
          <w:rFonts w:ascii="Times New Roman" w:hAnsi="Times New Roman" w:cs="Times New Roman"/>
        </w:rPr>
        <w:t>,</w:t>
      </w:r>
    </w:p>
    <w:p w:rsidR="00316C75" w:rsidRDefault="009A13F6" w:rsidP="00132289">
      <w:pPr>
        <w:spacing w:before="120" w:after="0"/>
        <w:jc w:val="both"/>
        <w:rPr>
          <w:rFonts w:ascii="Times New Roman" w:hAnsi="Times New Roman" w:cs="Times New Roman"/>
          <w:shd w:val="clear" w:color="auto" w:fill="FFFFFF"/>
        </w:rPr>
      </w:pPr>
      <w:r w:rsidRPr="0069796D">
        <w:rPr>
          <w:rFonts w:ascii="Times New Roman" w:hAnsi="Times New Roman" w:cs="Times New Roman"/>
          <w:b/>
        </w:rPr>
        <w:t xml:space="preserve">sme </w:t>
      </w:r>
      <w:r w:rsidR="00BD03B6" w:rsidRPr="0069796D">
        <w:rPr>
          <w:rFonts w:ascii="Times New Roman" w:hAnsi="Times New Roman" w:cs="Times New Roman"/>
          <w:b/>
        </w:rPr>
        <w:t xml:space="preserve">vážne </w:t>
      </w:r>
      <w:r w:rsidRPr="0069796D">
        <w:rPr>
          <w:rFonts w:ascii="Times New Roman" w:hAnsi="Times New Roman" w:cs="Times New Roman"/>
          <w:b/>
        </w:rPr>
        <w:t>znepokojení</w:t>
      </w:r>
      <w:r w:rsidR="00C90FE2" w:rsidRPr="0069796D">
        <w:rPr>
          <w:rFonts w:ascii="Times New Roman" w:hAnsi="Times New Roman" w:cs="Times New Roman"/>
          <w:b/>
        </w:rPr>
        <w:t xml:space="preserve"> </w:t>
      </w:r>
      <w:r w:rsidR="00BD03B6" w:rsidRPr="0069796D">
        <w:rPr>
          <w:rFonts w:ascii="Times New Roman" w:hAnsi="Times New Roman" w:cs="Times New Roman"/>
          <w:b/>
        </w:rPr>
        <w:t xml:space="preserve">nerešpektovaním </w:t>
      </w:r>
      <w:r w:rsidR="0069796D" w:rsidRPr="0069796D">
        <w:rPr>
          <w:rFonts w:ascii="Times New Roman" w:hAnsi="Times New Roman" w:cs="Times New Roman"/>
          <w:b/>
        </w:rPr>
        <w:t xml:space="preserve">petície viac ako 4 000 Bratislavčanov a na ňu nadväzujúceho </w:t>
      </w:r>
      <w:r w:rsidR="00BD03B6" w:rsidRPr="0069796D">
        <w:rPr>
          <w:rFonts w:ascii="Times New Roman" w:hAnsi="Times New Roman" w:cs="Times New Roman"/>
          <w:b/>
        </w:rPr>
        <w:t>uznesenia Mestského zastupiteľstva</w:t>
      </w:r>
      <w:r w:rsidR="00BD03B6">
        <w:rPr>
          <w:rFonts w:ascii="Times New Roman" w:hAnsi="Times New Roman" w:cs="Times New Roman"/>
        </w:rPr>
        <w:t xml:space="preserve"> hlavného mesta SR Bratislavy č. 746/2017</w:t>
      </w:r>
      <w:r w:rsidR="007C7773">
        <w:rPr>
          <w:rFonts w:ascii="Times New Roman" w:hAnsi="Times New Roman" w:cs="Times New Roman"/>
        </w:rPr>
        <w:t xml:space="preserve"> zo dňa 29.03.2017 (resp. 27.04.2017)</w:t>
      </w:r>
      <w:r w:rsidR="004A7831">
        <w:rPr>
          <w:rFonts w:ascii="Times New Roman" w:hAnsi="Times New Roman" w:cs="Times New Roman"/>
        </w:rPr>
        <w:t xml:space="preserve"> zo strany vedenia hlavného mesta a Magistrátu Bratislavy. Napriek tomu, že bod B.3 tohto uznesenia požaduje, aby primátor Bratislavy </w:t>
      </w:r>
      <w:r w:rsidR="004A7831" w:rsidRPr="004A7831">
        <w:rPr>
          <w:rFonts w:ascii="Times New Roman" w:hAnsi="Times New Roman" w:cs="Times New Roman"/>
        </w:rPr>
        <w:t>„</w:t>
      </w:r>
      <w:r w:rsidR="004A7831" w:rsidRPr="00316C75">
        <w:rPr>
          <w:rFonts w:ascii="Times New Roman" w:hAnsi="Times New Roman" w:cs="Times New Roman"/>
          <w:i/>
          <w:shd w:val="clear" w:color="auto" w:fill="FFFFFF"/>
        </w:rPr>
        <w:t xml:space="preserve">zabezpečil obstaranie zmien a doplnkov platného územného plánu hlavného mesta SR Bratislavy v lokalitách 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Haanova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/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Pankúchova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 xml:space="preserve">,  pozemok 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parc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. č. 326/1 a 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Mamateyova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/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Poloreckého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 xml:space="preserve">, pozemok </w:t>
      </w:r>
      <w:proofErr w:type="spellStart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parc</w:t>
      </w:r>
      <w:proofErr w:type="spellEnd"/>
      <w:r w:rsidR="004A7831" w:rsidRPr="00316C75">
        <w:rPr>
          <w:rFonts w:ascii="Times New Roman" w:hAnsi="Times New Roman" w:cs="Times New Roman"/>
          <w:i/>
          <w:shd w:val="clear" w:color="auto" w:fill="FFFFFF"/>
        </w:rPr>
        <w:t>. č. 374, v katastrálnom území Petržalka z existujúceho funkčného využitia kód 101, viacpodlažná zástavba obytného územia, na funkčné využitie kód 1110, parky, sadovnícke a lesoparkové úpravy, stabilizované územie</w:t>
      </w:r>
      <w:r w:rsidR="004A7831">
        <w:rPr>
          <w:rFonts w:ascii="Times New Roman" w:hAnsi="Times New Roman" w:cs="Times New Roman"/>
          <w:shd w:val="clear" w:color="auto" w:fill="FFFFFF"/>
        </w:rPr>
        <w:t>“</w:t>
      </w:r>
      <w:r w:rsidR="004A7831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4A7831" w:rsidRPr="004A7831">
        <w:rPr>
          <w:rFonts w:ascii="Times New Roman" w:hAnsi="Times New Roman" w:cs="Times New Roman"/>
          <w:shd w:val="clear" w:color="auto" w:fill="FFFFFF"/>
        </w:rPr>
        <w:t>v návrhu zmien a</w:t>
      </w:r>
      <w:r w:rsidR="004A7831">
        <w:rPr>
          <w:rFonts w:ascii="Times New Roman" w:hAnsi="Times New Roman" w:cs="Times New Roman"/>
          <w:shd w:val="clear" w:color="auto" w:fill="FFFFFF"/>
        </w:rPr>
        <w:t> doplnkov 09 Územného plánu hlavného mesta SR Bratislavy 2007 v znení neskorších zmien a</w:t>
      </w:r>
      <w:r w:rsidR="00316C75">
        <w:rPr>
          <w:rFonts w:ascii="Times New Roman" w:hAnsi="Times New Roman" w:cs="Times New Roman"/>
          <w:shd w:val="clear" w:color="auto" w:fill="FFFFFF"/>
        </w:rPr>
        <w:t> </w:t>
      </w:r>
      <w:r w:rsidR="004A7831">
        <w:rPr>
          <w:rFonts w:ascii="Times New Roman" w:hAnsi="Times New Roman" w:cs="Times New Roman"/>
          <w:shd w:val="clear" w:color="auto" w:fill="FFFFFF"/>
        </w:rPr>
        <w:t>doplnkov</w:t>
      </w:r>
      <w:r w:rsidR="00316C75">
        <w:rPr>
          <w:rFonts w:ascii="Times New Roman" w:hAnsi="Times New Roman" w:cs="Times New Roman"/>
          <w:shd w:val="clear" w:color="auto" w:fill="FFFFFF"/>
        </w:rPr>
        <w:t xml:space="preserve"> </w:t>
      </w:r>
      <w:r w:rsidR="00635142">
        <w:rPr>
          <w:rFonts w:ascii="Times New Roman" w:hAnsi="Times New Roman" w:cs="Times New Roman"/>
          <w:shd w:val="clear" w:color="auto" w:fill="FFFFFF"/>
        </w:rPr>
        <w:t>(ďalej len „</w:t>
      </w:r>
      <w:proofErr w:type="spellStart"/>
      <w:r w:rsidR="00635142" w:rsidRPr="00635142">
        <w:rPr>
          <w:rFonts w:ascii="Times New Roman" w:hAnsi="Times New Roman" w:cs="Times New Roman"/>
          <w:b/>
          <w:shd w:val="clear" w:color="auto" w:fill="FFFFFF"/>
        </w:rPr>
        <w:t>ZaD</w:t>
      </w:r>
      <w:proofErr w:type="spellEnd"/>
      <w:r w:rsidR="00635142" w:rsidRPr="00635142">
        <w:rPr>
          <w:rFonts w:ascii="Times New Roman" w:hAnsi="Times New Roman" w:cs="Times New Roman"/>
          <w:b/>
          <w:shd w:val="clear" w:color="auto" w:fill="FFFFFF"/>
        </w:rPr>
        <w:t xml:space="preserve"> 09</w:t>
      </w:r>
      <w:r w:rsidR="00635142">
        <w:rPr>
          <w:rFonts w:ascii="Times New Roman" w:hAnsi="Times New Roman" w:cs="Times New Roman"/>
          <w:shd w:val="clear" w:color="auto" w:fill="FFFFFF"/>
        </w:rPr>
        <w:t xml:space="preserve">“) </w:t>
      </w:r>
      <w:r w:rsidR="00316C75">
        <w:rPr>
          <w:rFonts w:ascii="Times New Roman" w:hAnsi="Times New Roman" w:cs="Times New Roman"/>
          <w:shd w:val="clear" w:color="auto" w:fill="FFFFFF"/>
        </w:rPr>
        <w:t xml:space="preserve">je splnená len tá časť uznesenia, ktorá sa týka pozemku na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parc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 xml:space="preserve">. č. 374 (lokalita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Mamateyova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 xml:space="preserve"> /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Polereckého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 xml:space="preserve">), avšak časť uznesenia týkajúca sa pozemku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parc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 xml:space="preserve">. č. 326/1 (lokalita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Haanova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 xml:space="preserve"> / </w:t>
      </w:r>
      <w:proofErr w:type="spellStart"/>
      <w:r w:rsidR="00316C75">
        <w:rPr>
          <w:rFonts w:ascii="Times New Roman" w:hAnsi="Times New Roman" w:cs="Times New Roman"/>
          <w:shd w:val="clear" w:color="auto" w:fill="FFFFFF"/>
        </w:rPr>
        <w:t>Pankúchova</w:t>
      </w:r>
      <w:proofErr w:type="spellEnd"/>
      <w:r w:rsidR="00316C75">
        <w:rPr>
          <w:rFonts w:ascii="Times New Roman" w:hAnsi="Times New Roman" w:cs="Times New Roman"/>
          <w:shd w:val="clear" w:color="auto" w:fill="FFFFFF"/>
        </w:rPr>
        <w:t>) bola úplne odignorovaná.</w:t>
      </w:r>
    </w:p>
    <w:p w:rsidR="004A7831" w:rsidRDefault="00316C75" w:rsidP="00132289">
      <w:pPr>
        <w:spacing w:before="120" w:after="0"/>
        <w:jc w:val="both"/>
        <w:rPr>
          <w:rFonts w:ascii="Times New Roman" w:hAnsi="Times New Roman" w:cs="Times New Roman"/>
          <w:shd w:val="clear" w:color="auto" w:fill="FFFFFF"/>
        </w:rPr>
      </w:pPr>
      <w:r w:rsidRPr="00635142">
        <w:rPr>
          <w:rFonts w:ascii="Times New Roman" w:hAnsi="Times New Roman" w:cs="Times New Roman"/>
          <w:b/>
          <w:shd w:val="clear" w:color="auto" w:fill="FFFFFF"/>
        </w:rPr>
        <w:t>Pritom aj samotná mestská časť Bratislava – Petržalka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35142">
        <w:rPr>
          <w:rFonts w:ascii="Times New Roman" w:hAnsi="Times New Roman" w:cs="Times New Roman"/>
          <w:b/>
          <w:shd w:val="clear" w:color="auto" w:fill="FFFFFF"/>
        </w:rPr>
        <w:t>požiadala</w:t>
      </w:r>
      <w:r>
        <w:rPr>
          <w:rFonts w:ascii="Times New Roman" w:hAnsi="Times New Roman" w:cs="Times New Roman"/>
          <w:shd w:val="clear" w:color="auto" w:fill="FFFFFF"/>
        </w:rPr>
        <w:t xml:space="preserve"> listom starostu Petržalky </w:t>
      </w:r>
      <w:r w:rsidRPr="00635142">
        <w:rPr>
          <w:rFonts w:ascii="Times New Roman" w:hAnsi="Times New Roman" w:cs="Times New Roman"/>
          <w:b/>
          <w:shd w:val="clear" w:color="auto" w:fill="FFFFFF"/>
        </w:rPr>
        <w:t xml:space="preserve">o doplnenie pozemku </w:t>
      </w:r>
      <w:proofErr w:type="spellStart"/>
      <w:r w:rsidRPr="00635142">
        <w:rPr>
          <w:rFonts w:ascii="Times New Roman" w:hAnsi="Times New Roman" w:cs="Times New Roman"/>
          <w:b/>
          <w:shd w:val="clear" w:color="auto" w:fill="FFFFFF"/>
        </w:rPr>
        <w:t>parc</w:t>
      </w:r>
      <w:proofErr w:type="spellEnd"/>
      <w:r w:rsidRPr="00635142">
        <w:rPr>
          <w:rFonts w:ascii="Times New Roman" w:hAnsi="Times New Roman" w:cs="Times New Roman"/>
          <w:b/>
          <w:shd w:val="clear" w:color="auto" w:fill="FFFFFF"/>
        </w:rPr>
        <w:t xml:space="preserve">. č. 326/1 </w:t>
      </w:r>
      <w:r w:rsidR="004A7831" w:rsidRPr="0063514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35142">
        <w:rPr>
          <w:rFonts w:ascii="Times New Roman" w:hAnsi="Times New Roman" w:cs="Times New Roman"/>
          <w:b/>
          <w:shd w:val="clear" w:color="auto" w:fill="FFFFFF"/>
        </w:rPr>
        <w:t xml:space="preserve">(lokalita </w:t>
      </w:r>
      <w:proofErr w:type="spellStart"/>
      <w:r w:rsidRPr="00635142">
        <w:rPr>
          <w:rFonts w:ascii="Times New Roman" w:hAnsi="Times New Roman" w:cs="Times New Roman"/>
          <w:b/>
          <w:shd w:val="clear" w:color="auto" w:fill="FFFFFF"/>
        </w:rPr>
        <w:t>Haanova</w:t>
      </w:r>
      <w:proofErr w:type="spellEnd"/>
      <w:r w:rsidRPr="00635142">
        <w:rPr>
          <w:rFonts w:ascii="Times New Roman" w:hAnsi="Times New Roman" w:cs="Times New Roman"/>
          <w:b/>
          <w:shd w:val="clear" w:color="auto" w:fill="FFFFFF"/>
        </w:rPr>
        <w:t xml:space="preserve"> / </w:t>
      </w:r>
      <w:proofErr w:type="spellStart"/>
      <w:r w:rsidRPr="00635142">
        <w:rPr>
          <w:rFonts w:ascii="Times New Roman" w:hAnsi="Times New Roman" w:cs="Times New Roman"/>
          <w:b/>
          <w:shd w:val="clear" w:color="auto" w:fill="FFFFFF"/>
        </w:rPr>
        <w:t>Pankúchova</w:t>
      </w:r>
      <w:proofErr w:type="spellEnd"/>
      <w:r w:rsidRPr="00635142">
        <w:rPr>
          <w:rFonts w:ascii="Times New Roman" w:hAnsi="Times New Roman" w:cs="Times New Roman"/>
          <w:b/>
          <w:shd w:val="clear" w:color="auto" w:fill="FFFFFF"/>
        </w:rPr>
        <w:t xml:space="preserve">) do </w:t>
      </w:r>
      <w:proofErr w:type="spellStart"/>
      <w:r w:rsidR="00635142" w:rsidRPr="00635142">
        <w:rPr>
          <w:rFonts w:ascii="Times New Roman" w:hAnsi="Times New Roman" w:cs="Times New Roman"/>
          <w:b/>
          <w:shd w:val="clear" w:color="auto" w:fill="FFFFFF"/>
        </w:rPr>
        <w:t>ZaD</w:t>
      </w:r>
      <w:proofErr w:type="spellEnd"/>
      <w:r w:rsidR="00635142" w:rsidRPr="00635142">
        <w:rPr>
          <w:rFonts w:ascii="Times New Roman" w:hAnsi="Times New Roman" w:cs="Times New Roman"/>
          <w:b/>
          <w:shd w:val="clear" w:color="auto" w:fill="FFFFFF"/>
        </w:rPr>
        <w:t xml:space="preserve"> 09</w:t>
      </w:r>
      <w:r>
        <w:rPr>
          <w:rFonts w:ascii="Times New Roman" w:hAnsi="Times New Roman" w:cs="Times New Roman"/>
          <w:shd w:val="clear" w:color="auto" w:fill="FFFFFF"/>
        </w:rPr>
        <w:t>, čo je v súlade s uznesením Miestneho zastupiteľstva mestskej časti Bratislava – Petržalka č. 397 zo dňa 26.05.2021, ktoré v bode C jednoznačne uvádza to isté, čo vyššie uvedené uznesenie mestského zastupiteľstva</w:t>
      </w:r>
      <w:r w:rsidR="003834F3">
        <w:rPr>
          <w:rFonts w:ascii="Times New Roman" w:hAnsi="Times New Roman" w:cs="Times New Roman"/>
          <w:shd w:val="clear" w:color="auto" w:fill="FFFFFF"/>
        </w:rPr>
        <w:t>, t.j. žiada</w:t>
      </w:r>
      <w:r>
        <w:rPr>
          <w:rFonts w:ascii="Times New Roman" w:hAnsi="Times New Roman" w:cs="Times New Roman"/>
          <w:shd w:val="clear" w:color="auto" w:fill="FFFFFF"/>
        </w:rPr>
        <w:t>: „</w:t>
      </w:r>
      <w:r w:rsidRPr="00316C75">
        <w:rPr>
          <w:rFonts w:ascii="Times New Roman" w:hAnsi="Times New Roman" w:cs="Times New Roman"/>
          <w:i/>
        </w:rPr>
        <w:t>Hlavné mesto SR Bratislavu, aby v súlade s uznesením Mestského zastupiteľstva hlavného mesta SR Bratislavy č. 746/2017 zo dňa 29.3.2017 a 27.4.2017 a vzhľadom na charakter dotknutých pozemkov</w:t>
      </w:r>
      <w:r w:rsidRPr="00635142">
        <w:rPr>
          <w:rFonts w:ascii="Times New Roman" w:hAnsi="Times New Roman" w:cs="Times New Roman"/>
          <w:i/>
        </w:rPr>
        <w:t xml:space="preserve">, aby pozemky v lokalitách </w:t>
      </w:r>
      <w:proofErr w:type="spellStart"/>
      <w:r w:rsidRPr="00635142">
        <w:rPr>
          <w:rFonts w:ascii="Times New Roman" w:hAnsi="Times New Roman" w:cs="Times New Roman"/>
          <w:i/>
        </w:rPr>
        <w:t>Haanova</w:t>
      </w:r>
      <w:proofErr w:type="spellEnd"/>
      <w:r w:rsidRPr="00635142">
        <w:rPr>
          <w:rFonts w:ascii="Times New Roman" w:hAnsi="Times New Roman" w:cs="Times New Roman"/>
          <w:i/>
        </w:rPr>
        <w:t>/</w:t>
      </w:r>
      <w:proofErr w:type="spellStart"/>
      <w:r w:rsidRPr="00635142">
        <w:rPr>
          <w:rFonts w:ascii="Times New Roman" w:hAnsi="Times New Roman" w:cs="Times New Roman"/>
          <w:i/>
        </w:rPr>
        <w:t>Pankúchova</w:t>
      </w:r>
      <w:proofErr w:type="spellEnd"/>
      <w:r w:rsidRPr="00635142">
        <w:rPr>
          <w:rFonts w:ascii="Times New Roman" w:hAnsi="Times New Roman" w:cs="Times New Roman"/>
          <w:i/>
        </w:rPr>
        <w:t>/</w:t>
      </w:r>
      <w:proofErr w:type="spellStart"/>
      <w:r w:rsidRPr="00635142">
        <w:rPr>
          <w:rFonts w:ascii="Times New Roman" w:hAnsi="Times New Roman" w:cs="Times New Roman"/>
          <w:i/>
        </w:rPr>
        <w:t>Polereckého</w:t>
      </w:r>
      <w:proofErr w:type="spellEnd"/>
      <w:r w:rsidRPr="00635142">
        <w:rPr>
          <w:rFonts w:ascii="Times New Roman" w:hAnsi="Times New Roman" w:cs="Times New Roman"/>
          <w:i/>
        </w:rPr>
        <w:t>/</w:t>
      </w:r>
      <w:proofErr w:type="spellStart"/>
      <w:r w:rsidRPr="00635142">
        <w:rPr>
          <w:rFonts w:ascii="Times New Roman" w:hAnsi="Times New Roman" w:cs="Times New Roman"/>
          <w:i/>
        </w:rPr>
        <w:t>Mamateyova</w:t>
      </w:r>
      <w:proofErr w:type="spellEnd"/>
      <w:r w:rsidRPr="00635142">
        <w:rPr>
          <w:rFonts w:ascii="Times New Roman" w:hAnsi="Times New Roman" w:cs="Times New Roman"/>
          <w:i/>
        </w:rPr>
        <w:t xml:space="preserve"> vedené na parcelách č. 326/1, 424/4 a 374, z ktorých prvé dva sú v súčasnosti označené ako tzv. </w:t>
      </w:r>
      <w:proofErr w:type="spellStart"/>
      <w:r w:rsidRPr="00635142">
        <w:rPr>
          <w:rFonts w:ascii="Times New Roman" w:hAnsi="Times New Roman" w:cs="Times New Roman"/>
          <w:i/>
        </w:rPr>
        <w:t>brownfieldy</w:t>
      </w:r>
      <w:proofErr w:type="spellEnd"/>
      <w:r w:rsidRPr="00635142">
        <w:rPr>
          <w:rFonts w:ascii="Times New Roman" w:hAnsi="Times New Roman" w:cs="Times New Roman"/>
          <w:i/>
        </w:rPr>
        <w:t>, boli v rámci zmien a doplnkov Územného plánu hlavného mesta SR Bratislavy (</w:t>
      </w:r>
      <w:proofErr w:type="spellStart"/>
      <w:r w:rsidRPr="00635142">
        <w:rPr>
          <w:rFonts w:ascii="Times New Roman" w:hAnsi="Times New Roman" w:cs="Times New Roman"/>
          <w:i/>
        </w:rPr>
        <w:t>ZoD</w:t>
      </w:r>
      <w:proofErr w:type="spellEnd"/>
      <w:r w:rsidRPr="00635142">
        <w:rPr>
          <w:rFonts w:ascii="Times New Roman" w:hAnsi="Times New Roman" w:cs="Times New Roman"/>
          <w:i/>
        </w:rPr>
        <w:t xml:space="preserve"> 09) preklasifikované na stabilizované územie, kód 1110</w:t>
      </w:r>
      <w:r w:rsidRPr="00316C75">
        <w:rPr>
          <w:rFonts w:ascii="Times New Roman" w:hAnsi="Times New Roman" w:cs="Times New Roman"/>
          <w:i/>
        </w:rPr>
        <w:t xml:space="preserve"> (funkcia parky, sadovnícke a lesoparkové úpravy).</w:t>
      </w:r>
      <w:r w:rsidRPr="00316C75">
        <w:rPr>
          <w:rFonts w:ascii="Times New Roman" w:hAnsi="Times New Roman" w:cs="Times New Roman"/>
        </w:rPr>
        <w:t>“.</w:t>
      </w:r>
      <w:r w:rsidR="003834F3">
        <w:rPr>
          <w:rFonts w:ascii="Times New Roman" w:hAnsi="Times New Roman" w:cs="Times New Roman"/>
        </w:rPr>
        <w:t xml:space="preserve"> V liste starostu Petržalky sa uvádza ako alternatívna možnosť preklasifikovať funkčné využitie pozemku na </w:t>
      </w:r>
      <w:proofErr w:type="spellStart"/>
      <w:r w:rsidR="003834F3">
        <w:rPr>
          <w:rFonts w:ascii="Times New Roman" w:hAnsi="Times New Roman" w:cs="Times New Roman"/>
        </w:rPr>
        <w:t>parc</w:t>
      </w:r>
      <w:proofErr w:type="spellEnd"/>
      <w:r w:rsidR="003834F3">
        <w:rPr>
          <w:rFonts w:ascii="Times New Roman" w:hAnsi="Times New Roman" w:cs="Times New Roman"/>
        </w:rPr>
        <w:t xml:space="preserve">. </w:t>
      </w:r>
      <w:r w:rsidR="003834F3">
        <w:rPr>
          <w:rFonts w:ascii="Times New Roman" w:hAnsi="Times New Roman" w:cs="Times New Roman"/>
          <w:shd w:val="clear" w:color="auto" w:fill="FFFFFF"/>
        </w:rPr>
        <w:t xml:space="preserve">č. 326/1  (lokalita </w:t>
      </w:r>
      <w:proofErr w:type="spellStart"/>
      <w:r w:rsidR="003834F3">
        <w:rPr>
          <w:rFonts w:ascii="Times New Roman" w:hAnsi="Times New Roman" w:cs="Times New Roman"/>
          <w:shd w:val="clear" w:color="auto" w:fill="FFFFFF"/>
        </w:rPr>
        <w:t>Haanova</w:t>
      </w:r>
      <w:proofErr w:type="spellEnd"/>
      <w:r w:rsidR="003834F3">
        <w:rPr>
          <w:rFonts w:ascii="Times New Roman" w:hAnsi="Times New Roman" w:cs="Times New Roman"/>
          <w:shd w:val="clear" w:color="auto" w:fill="FFFFFF"/>
        </w:rPr>
        <w:t xml:space="preserve"> / </w:t>
      </w:r>
      <w:proofErr w:type="spellStart"/>
      <w:r w:rsidR="003834F3">
        <w:rPr>
          <w:rFonts w:ascii="Times New Roman" w:hAnsi="Times New Roman" w:cs="Times New Roman"/>
          <w:shd w:val="clear" w:color="auto" w:fill="FFFFFF"/>
        </w:rPr>
        <w:t>Pankúchova</w:t>
      </w:r>
      <w:proofErr w:type="spellEnd"/>
      <w:r w:rsidR="003834F3">
        <w:rPr>
          <w:rFonts w:ascii="Times New Roman" w:hAnsi="Times New Roman" w:cs="Times New Roman"/>
          <w:shd w:val="clear" w:color="auto" w:fill="FFFFFF"/>
        </w:rPr>
        <w:t>) na kód 401 (šport, telovýchova a voľný čas), čo považujeme tiež za vhodné riešenie.</w:t>
      </w:r>
    </w:p>
    <w:p w:rsidR="003834F3" w:rsidRDefault="003834F3" w:rsidP="00132289">
      <w:pPr>
        <w:spacing w:before="120"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Dovoľujeme si pripomenúť, že iné funkčné využitie predmetného pozemku, osobitne jeho využitie ako stavebného pozemku, je absolútne nevhodné, čo bolo bližšie vysvetlené v petícii viac ako 4 000 Bratislavčanov (Petržalčanov), čo v plnej miere zohľadnilo v roku 2017 formou uznesenia aj mestské zastupiteľstvo, a to dokonca prelomením veta primátora. </w:t>
      </w:r>
      <w:r w:rsidR="00EB2420">
        <w:rPr>
          <w:rFonts w:ascii="Times New Roman" w:hAnsi="Times New Roman" w:cs="Times New Roman"/>
          <w:shd w:val="clear" w:color="auto" w:fill="FFFFFF"/>
        </w:rPr>
        <w:t>Vykonanie takto potvrdeného uznesenia nemožno v zmysle § 13 ods. 8 zákona č. 369/1990 Zb. o obecnom zriadení pozastaviť, takže terajšie konanie Magistrátu Bratislavy a vedenia hlavného mesta SR Bratislavy je v príkrom rozpore so zákonom.</w:t>
      </w:r>
    </w:p>
    <w:p w:rsidR="00111CA8" w:rsidRPr="00661B0A" w:rsidRDefault="00EB2420" w:rsidP="009A13F6">
      <w:pPr>
        <w:spacing w:before="120"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A5B95">
        <w:rPr>
          <w:rFonts w:ascii="Times New Roman" w:hAnsi="Times New Roman" w:cs="Times New Roman"/>
          <w:b/>
          <w:shd w:val="clear" w:color="auto" w:fill="FFFFFF"/>
        </w:rPr>
        <w:t xml:space="preserve">Preto vás žiadame, aby ste upustili od konania, ktoré je v rozpore so zákonom a akceptovali našu hromadnú pripomienku, ktorou navrhujeme, aby bol pozemok </w:t>
      </w:r>
      <w:proofErr w:type="spellStart"/>
      <w:r w:rsidRPr="002A5B95">
        <w:rPr>
          <w:rFonts w:ascii="Times New Roman" w:hAnsi="Times New Roman" w:cs="Times New Roman"/>
          <w:b/>
          <w:shd w:val="clear" w:color="auto" w:fill="FFFFFF"/>
        </w:rPr>
        <w:t>parc</w:t>
      </w:r>
      <w:proofErr w:type="spellEnd"/>
      <w:r w:rsidRPr="002A5B95">
        <w:rPr>
          <w:rFonts w:ascii="Times New Roman" w:hAnsi="Times New Roman" w:cs="Times New Roman"/>
          <w:b/>
          <w:shd w:val="clear" w:color="auto" w:fill="FFFFFF"/>
        </w:rPr>
        <w:t xml:space="preserve">. č. 326/1 (lokalita </w:t>
      </w:r>
      <w:proofErr w:type="spellStart"/>
      <w:r w:rsidRPr="002A5B95">
        <w:rPr>
          <w:rFonts w:ascii="Times New Roman" w:hAnsi="Times New Roman" w:cs="Times New Roman"/>
          <w:b/>
          <w:shd w:val="clear" w:color="auto" w:fill="FFFFFF"/>
        </w:rPr>
        <w:t>Haanova</w:t>
      </w:r>
      <w:proofErr w:type="spellEnd"/>
      <w:r w:rsidRPr="002A5B95">
        <w:rPr>
          <w:rFonts w:ascii="Times New Roman" w:hAnsi="Times New Roman" w:cs="Times New Roman"/>
          <w:b/>
          <w:shd w:val="clear" w:color="auto" w:fill="FFFFFF"/>
        </w:rPr>
        <w:t xml:space="preserve"> / </w:t>
      </w:r>
      <w:proofErr w:type="spellStart"/>
      <w:r w:rsidRPr="002A5B95">
        <w:rPr>
          <w:rFonts w:ascii="Times New Roman" w:hAnsi="Times New Roman" w:cs="Times New Roman"/>
          <w:b/>
          <w:shd w:val="clear" w:color="auto" w:fill="FFFFFF"/>
        </w:rPr>
        <w:t>Pankúchova</w:t>
      </w:r>
      <w:proofErr w:type="spellEnd"/>
      <w:r w:rsidRPr="002A5B95">
        <w:rPr>
          <w:rFonts w:ascii="Times New Roman" w:hAnsi="Times New Roman" w:cs="Times New Roman"/>
          <w:b/>
          <w:shd w:val="clear" w:color="auto" w:fill="FFFFFF"/>
        </w:rPr>
        <w:t xml:space="preserve">) doplnený do príslušných častí zmien a doplnkov Územného plánu hlavného mesta č. 09 a aby bolo preklasifikované funkčné využitie tohto pozemku </w:t>
      </w:r>
      <w:r w:rsidRPr="002A5B95">
        <w:rPr>
          <w:rFonts w:ascii="Times New Roman" w:hAnsi="Times New Roman" w:cs="Times New Roman"/>
          <w:b/>
        </w:rPr>
        <w:t>na kód 1110 (parky, sadovnícke a lesoparkové úpravy) alebo na kód 401 (šport, telovýchova a voľný čas).</w:t>
      </w:r>
    </w:p>
    <w:p w:rsidR="002A5B95" w:rsidRPr="00EB2420" w:rsidRDefault="002A5B95" w:rsidP="002A5B95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HROMADNÁ PRIPOMIENKA </w:t>
      </w:r>
    </w:p>
    <w:p w:rsidR="00111CA8" w:rsidRPr="00666C54" w:rsidRDefault="002A5B95" w:rsidP="002A5B95">
      <w:pPr>
        <w:spacing w:before="120" w:after="0"/>
        <w:jc w:val="center"/>
        <w:rPr>
          <w:rFonts w:ascii="Times New Roman" w:hAnsi="Times New Roman" w:cs="Times New Roman"/>
          <w:bCs/>
        </w:rPr>
      </w:pPr>
      <w:r w:rsidRPr="00EB2420">
        <w:rPr>
          <w:rFonts w:ascii="Times New Roman" w:hAnsi="Times New Roman" w:cs="Times New Roman"/>
          <w:b/>
        </w:rPr>
        <w:t>k Územnému plánu hlavného mesta SR Bratislava rok 2007 v znení neskorších zmien a doplnkov, zmeny a doplnky 09</w:t>
      </w:r>
    </w:p>
    <w:p w:rsidR="00906631" w:rsidRPr="00666C54" w:rsidRDefault="002A5B95" w:rsidP="00906631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(podpisový</w:t>
      </w:r>
      <w:r w:rsidR="00BD4D72" w:rsidRPr="00666C54">
        <w:rPr>
          <w:rFonts w:ascii="Times New Roman" w:hAnsi="Times New Roman" w:cs="Times New Roman"/>
          <w:bCs/>
        </w:rPr>
        <w:t xml:space="preserve"> hárok)</w:t>
      </w:r>
    </w:p>
    <w:p w:rsidR="00111CA8" w:rsidRPr="00666C54" w:rsidRDefault="00BC7FD9" w:rsidP="00906631">
      <w:pPr>
        <w:spacing w:before="120" w:after="0"/>
        <w:jc w:val="center"/>
        <w:rPr>
          <w:rFonts w:ascii="Times New Roman" w:hAnsi="Times New Roman" w:cs="Times New Roman"/>
        </w:rPr>
      </w:pPr>
      <w:r w:rsidRPr="00666C54">
        <w:rPr>
          <w:rFonts w:ascii="Times New Roman" w:hAnsi="Times New Roman" w:cs="Times New Roman"/>
        </w:rPr>
        <w:t>(n</w:t>
      </w:r>
      <w:r w:rsidR="00111CA8" w:rsidRPr="00666C54">
        <w:rPr>
          <w:rFonts w:ascii="Times New Roman" w:hAnsi="Times New Roman" w:cs="Times New Roman"/>
        </w:rPr>
        <w:t>epoužívajte</w:t>
      </w:r>
      <w:r w:rsidR="00226954">
        <w:rPr>
          <w:rFonts w:ascii="Times New Roman" w:hAnsi="Times New Roman" w:cs="Times New Roman"/>
        </w:rPr>
        <w:t xml:space="preserve"> prosím SKRATKY </w:t>
      </w:r>
      <w:r w:rsidR="00111CA8" w:rsidRPr="00666C54">
        <w:rPr>
          <w:rFonts w:ascii="Times New Roman" w:hAnsi="Times New Roman" w:cs="Times New Roman"/>
        </w:rPr>
        <w:t>a</w:t>
      </w:r>
      <w:r w:rsidR="005267A8" w:rsidRPr="00666C54">
        <w:rPr>
          <w:rFonts w:ascii="Times New Roman" w:hAnsi="Times New Roman" w:cs="Times New Roman"/>
        </w:rPr>
        <w:t>ni</w:t>
      </w:r>
      <w:r w:rsidR="00111CA8" w:rsidRPr="00666C54">
        <w:rPr>
          <w:rFonts w:ascii="Times New Roman" w:hAnsi="Times New Roman" w:cs="Times New Roman"/>
        </w:rPr>
        <w:t> OPAKOVACIE znamienka)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2694"/>
        <w:gridCol w:w="2835"/>
      </w:tblGrid>
      <w:tr w:rsidR="007B5D90" w:rsidRPr="00666C54" w:rsidTr="00706504">
        <w:trPr>
          <w:trHeight w:val="195"/>
        </w:trPr>
        <w:tc>
          <w:tcPr>
            <w:tcW w:w="709" w:type="dxa"/>
            <w:vMerge w:val="restart"/>
          </w:tcPr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C54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3402" w:type="dxa"/>
            <w:vMerge w:val="restart"/>
          </w:tcPr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C54">
              <w:rPr>
                <w:rFonts w:ascii="Times New Roman" w:hAnsi="Times New Roman" w:cs="Times New Roman"/>
                <w:b/>
              </w:rPr>
              <w:t>Meno a priezvisko</w:t>
            </w:r>
          </w:p>
        </w:tc>
        <w:tc>
          <w:tcPr>
            <w:tcW w:w="4394" w:type="dxa"/>
            <w:gridSpan w:val="2"/>
          </w:tcPr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C54">
              <w:rPr>
                <w:rFonts w:ascii="Times New Roman" w:hAnsi="Times New Roman" w:cs="Times New Roman"/>
                <w:b/>
              </w:rPr>
              <w:t xml:space="preserve">Adresa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666C54">
              <w:rPr>
                <w:rFonts w:ascii="Times New Roman" w:hAnsi="Times New Roman" w:cs="Times New Roman"/>
                <w:b/>
              </w:rPr>
              <w:t>trvalého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66C54">
              <w:rPr>
                <w:rFonts w:ascii="Times New Roman" w:hAnsi="Times New Roman" w:cs="Times New Roman"/>
                <w:b/>
              </w:rPr>
              <w:t xml:space="preserve"> pobytu</w:t>
            </w:r>
          </w:p>
        </w:tc>
        <w:tc>
          <w:tcPr>
            <w:tcW w:w="2694" w:type="dxa"/>
            <w:vMerge w:val="restart"/>
            <w:tcBorders>
              <w:right w:val="dashSmallGap" w:sz="4" w:space="0" w:color="auto"/>
            </w:tcBorders>
          </w:tcPr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C54"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66C54">
              <w:rPr>
                <w:rFonts w:ascii="Times New Roman" w:hAnsi="Times New Roman" w:cs="Times New Roman"/>
                <w:b/>
                <w:i/>
              </w:rPr>
              <w:t>E-mail</w:t>
            </w:r>
            <w:r w:rsidRPr="00666C5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B5D90" w:rsidRPr="00666C54" w:rsidRDefault="007B5D90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66C54">
              <w:rPr>
                <w:rFonts w:ascii="Times New Roman" w:hAnsi="Times New Roman" w:cs="Times New Roman"/>
                <w:i/>
              </w:rPr>
              <w:t>(nepovinný údaj)</w:t>
            </w:r>
          </w:p>
        </w:tc>
      </w:tr>
      <w:tr w:rsidR="00706504" w:rsidRPr="00666C54" w:rsidTr="00706504">
        <w:trPr>
          <w:trHeight w:val="195"/>
        </w:trPr>
        <w:tc>
          <w:tcPr>
            <w:tcW w:w="709" w:type="dxa"/>
            <w:vMerge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6504" w:rsidRPr="00666C54" w:rsidRDefault="00706504" w:rsidP="0070650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a číslo domu</w:t>
            </w: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</w:t>
            </w:r>
          </w:p>
        </w:tc>
        <w:tc>
          <w:tcPr>
            <w:tcW w:w="2694" w:type="dxa"/>
            <w:vMerge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706504" w:rsidRPr="00666C54" w:rsidTr="00706504">
        <w:tc>
          <w:tcPr>
            <w:tcW w:w="709" w:type="dxa"/>
          </w:tcPr>
          <w:p w:rsidR="00706504" w:rsidRPr="00666C54" w:rsidRDefault="00706504" w:rsidP="000942A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666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6504" w:rsidRPr="00666C54" w:rsidRDefault="00706504" w:rsidP="000942A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6504" w:rsidRPr="00666C54" w:rsidRDefault="00706504" w:rsidP="000942A4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42A4" w:rsidRPr="00666C54" w:rsidRDefault="002A5B95" w:rsidP="005267A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Podpisové</w:t>
      </w:r>
      <w:r w:rsidR="000942A4" w:rsidRPr="00666C54">
        <w:rPr>
          <w:rFonts w:ascii="Times New Roman" w:hAnsi="Times New Roman" w:cs="Times New Roman"/>
          <w:b/>
          <w:bCs/>
        </w:rPr>
        <w:t xml:space="preserve"> hárky rozmnožujte podľa potreby. </w:t>
      </w:r>
      <w:r w:rsidR="000942A4" w:rsidRPr="002A5B95">
        <w:rPr>
          <w:rFonts w:ascii="Times New Roman" w:hAnsi="Times New Roman" w:cs="Times New Roman"/>
          <w:bCs/>
        </w:rPr>
        <w:t>Vyplnením kolónky E</w:t>
      </w:r>
      <w:r w:rsidR="005267A8" w:rsidRPr="002A5B95">
        <w:rPr>
          <w:rFonts w:ascii="Times New Roman" w:hAnsi="Times New Roman" w:cs="Times New Roman"/>
          <w:bCs/>
        </w:rPr>
        <w:t>-mail (nepovinný údaj</w:t>
      </w:r>
      <w:r w:rsidR="000942A4" w:rsidRPr="002A5B95">
        <w:rPr>
          <w:rFonts w:ascii="Times New Roman" w:hAnsi="Times New Roman" w:cs="Times New Roman"/>
          <w:bCs/>
        </w:rPr>
        <w:t xml:space="preserve">) budete informovaní o ďalšom </w:t>
      </w:r>
      <w:r w:rsidR="00FB47D0">
        <w:rPr>
          <w:rFonts w:ascii="Times New Roman" w:hAnsi="Times New Roman" w:cs="Times New Roman"/>
          <w:bCs/>
        </w:rPr>
        <w:t>postupe pri vybavovaní hromadnej pripomienky</w:t>
      </w:r>
      <w:r w:rsidR="007B5D90" w:rsidRPr="002A5B95">
        <w:rPr>
          <w:rFonts w:ascii="Times New Roman" w:hAnsi="Times New Roman" w:cs="Times New Roman"/>
          <w:bCs/>
        </w:rPr>
        <w:t>.</w:t>
      </w:r>
      <w:r w:rsidR="007B5D90">
        <w:rPr>
          <w:rFonts w:ascii="Times New Roman" w:hAnsi="Times New Roman" w:cs="Times New Roman"/>
          <w:b/>
          <w:bCs/>
        </w:rPr>
        <w:t xml:space="preserve"> </w:t>
      </w:r>
      <w:r w:rsidR="000942A4" w:rsidRPr="00666C54">
        <w:rPr>
          <w:rFonts w:ascii="Times New Roman" w:hAnsi="Times New Roman" w:cs="Times New Roman"/>
          <w:b/>
          <w:bCs/>
        </w:rPr>
        <w:t>Podpísané</w:t>
      </w:r>
      <w:r w:rsidR="00FB47D0">
        <w:rPr>
          <w:rFonts w:ascii="Times New Roman" w:hAnsi="Times New Roman" w:cs="Times New Roman"/>
          <w:b/>
          <w:bCs/>
        </w:rPr>
        <w:t xml:space="preserve"> </w:t>
      </w:r>
      <w:r w:rsidR="009E28DB" w:rsidRPr="00666C54">
        <w:rPr>
          <w:rFonts w:ascii="Times New Roman" w:hAnsi="Times New Roman" w:cs="Times New Roman"/>
          <w:b/>
          <w:bCs/>
        </w:rPr>
        <w:t>hárky doru</w:t>
      </w:r>
      <w:r w:rsidR="007B5D90">
        <w:rPr>
          <w:rFonts w:ascii="Times New Roman" w:hAnsi="Times New Roman" w:cs="Times New Roman"/>
          <w:b/>
          <w:bCs/>
        </w:rPr>
        <w:t>č</w:t>
      </w:r>
      <w:r>
        <w:rPr>
          <w:rFonts w:ascii="Times New Roman" w:hAnsi="Times New Roman" w:cs="Times New Roman"/>
          <w:b/>
          <w:bCs/>
        </w:rPr>
        <w:t xml:space="preserve">te prosím </w:t>
      </w:r>
      <w:r w:rsidR="007B5D90">
        <w:rPr>
          <w:rFonts w:ascii="Times New Roman" w:hAnsi="Times New Roman" w:cs="Times New Roman"/>
          <w:b/>
          <w:bCs/>
        </w:rPr>
        <w:t>tejto osobe</w:t>
      </w:r>
      <w:r>
        <w:rPr>
          <w:rFonts w:ascii="Times New Roman" w:hAnsi="Times New Roman" w:cs="Times New Roman"/>
          <w:b/>
          <w:bCs/>
        </w:rPr>
        <w:t xml:space="preserve"> </w:t>
      </w:r>
      <w:r w:rsidRPr="002A5B95">
        <w:rPr>
          <w:rFonts w:ascii="Times New Roman" w:hAnsi="Times New Roman" w:cs="Times New Roman"/>
          <w:bCs/>
        </w:rPr>
        <w:t>(napr. osobne alebo vhodením do poštovej schránky)</w:t>
      </w:r>
      <w:r>
        <w:rPr>
          <w:rFonts w:ascii="Times New Roman" w:hAnsi="Times New Roman" w:cs="Times New Roman"/>
          <w:b/>
          <w:bCs/>
        </w:rPr>
        <w:t xml:space="preserve"> </w:t>
      </w:r>
      <w:r w:rsidRPr="00E5025E">
        <w:rPr>
          <w:rFonts w:ascii="Times New Roman" w:hAnsi="Times New Roman" w:cs="Times New Roman"/>
          <w:b/>
          <w:bCs/>
          <w:sz w:val="26"/>
          <w:szCs w:val="26"/>
          <w:u w:val="single"/>
        </w:rPr>
        <w:t>najneskôr do 27.07.2022</w:t>
      </w:r>
      <w:r w:rsidR="000942A4" w:rsidRPr="00666C54">
        <w:rPr>
          <w:rFonts w:ascii="Times New Roman" w:hAnsi="Times New Roman" w:cs="Times New Roman"/>
          <w:b/>
          <w:bCs/>
        </w:rPr>
        <w:t>:</w:t>
      </w:r>
    </w:p>
    <w:p w:rsidR="0069796D" w:rsidRDefault="007B5D90" w:rsidP="009E28DB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69796D">
        <w:rPr>
          <w:rFonts w:ascii="Times New Roman" w:hAnsi="Times New Roman" w:cs="Times New Roman"/>
          <w:bCs/>
        </w:rPr>
        <w:t xml:space="preserve">JUDr. </w:t>
      </w:r>
      <w:r w:rsidRPr="0069796D">
        <w:rPr>
          <w:rFonts w:ascii="Times New Roman" w:hAnsi="Times New Roman" w:cs="Times New Roman"/>
          <w:b/>
          <w:bCs/>
        </w:rPr>
        <w:t>Milan Vetrák</w:t>
      </w:r>
      <w:r w:rsidRPr="0069796D">
        <w:rPr>
          <w:rFonts w:ascii="Times New Roman" w:hAnsi="Times New Roman" w:cs="Times New Roman"/>
          <w:bCs/>
        </w:rPr>
        <w:t xml:space="preserve">, PhD., </w:t>
      </w:r>
      <w:proofErr w:type="spellStart"/>
      <w:r w:rsidRPr="0069796D">
        <w:rPr>
          <w:rFonts w:ascii="Times New Roman" w:hAnsi="Times New Roman" w:cs="Times New Roman"/>
          <w:bCs/>
        </w:rPr>
        <w:t>Haanova</w:t>
      </w:r>
      <w:proofErr w:type="spellEnd"/>
      <w:r w:rsidRPr="0069796D">
        <w:rPr>
          <w:rFonts w:ascii="Times New Roman" w:hAnsi="Times New Roman" w:cs="Times New Roman"/>
          <w:bCs/>
        </w:rPr>
        <w:t xml:space="preserve"> 37, 851 04 Bratislava - </w:t>
      </w:r>
      <w:r w:rsidRPr="0069796D">
        <w:rPr>
          <w:rFonts w:ascii="Times New Roman" w:hAnsi="Times New Roman" w:cs="Times New Roman"/>
          <w:b/>
          <w:bCs/>
        </w:rPr>
        <w:t>osoba určená na zastupovanie v s</w:t>
      </w:r>
      <w:r w:rsidR="0069796D">
        <w:rPr>
          <w:rFonts w:ascii="Times New Roman" w:hAnsi="Times New Roman" w:cs="Times New Roman"/>
          <w:b/>
          <w:bCs/>
        </w:rPr>
        <w:t>tyku s orgánom verejnej moci</w:t>
      </w:r>
      <w:r w:rsidR="00661B0A" w:rsidRPr="0069796D">
        <w:rPr>
          <w:rFonts w:ascii="Times New Roman" w:hAnsi="Times New Roman" w:cs="Times New Roman"/>
          <w:bCs/>
        </w:rPr>
        <w:t xml:space="preserve"> </w:t>
      </w:r>
    </w:p>
    <w:p w:rsidR="00734492" w:rsidRPr="0069796D" w:rsidRDefault="00661B0A" w:rsidP="009E28DB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69796D">
        <w:rPr>
          <w:rFonts w:ascii="Times New Roman" w:hAnsi="Times New Roman" w:cs="Times New Roman"/>
          <w:bCs/>
        </w:rPr>
        <w:t xml:space="preserve">alebo Ing. Katarína </w:t>
      </w:r>
      <w:proofErr w:type="spellStart"/>
      <w:r w:rsidRPr="0069796D">
        <w:rPr>
          <w:rFonts w:ascii="Times New Roman" w:hAnsi="Times New Roman" w:cs="Times New Roman"/>
          <w:bCs/>
        </w:rPr>
        <w:t>Sklenková</w:t>
      </w:r>
      <w:proofErr w:type="spellEnd"/>
      <w:r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Pr="0069796D">
        <w:rPr>
          <w:rFonts w:ascii="Times New Roman" w:hAnsi="Times New Roman" w:cs="Times New Roman"/>
          <w:bCs/>
        </w:rPr>
        <w:t>Pankúchova</w:t>
      </w:r>
      <w:proofErr w:type="spellEnd"/>
      <w:r w:rsidRPr="0069796D">
        <w:rPr>
          <w:rFonts w:ascii="Times New Roman" w:hAnsi="Times New Roman" w:cs="Times New Roman"/>
          <w:bCs/>
        </w:rPr>
        <w:t xml:space="preserve"> 3, 85</w:t>
      </w:r>
      <w:bookmarkStart w:id="0" w:name="_GoBack"/>
      <w:bookmarkEnd w:id="0"/>
      <w:r w:rsidRPr="0069796D">
        <w:rPr>
          <w:rFonts w:ascii="Times New Roman" w:hAnsi="Times New Roman" w:cs="Times New Roman"/>
          <w:bCs/>
        </w:rPr>
        <w:t xml:space="preserve">1 04 Bratislava, </w:t>
      </w:r>
      <w:r w:rsidR="0069796D" w:rsidRPr="0069796D">
        <w:rPr>
          <w:rFonts w:ascii="Times New Roman" w:hAnsi="Times New Roman" w:cs="Times New Roman"/>
          <w:bCs/>
        </w:rPr>
        <w:t xml:space="preserve">Ing. Branislav </w:t>
      </w:r>
      <w:proofErr w:type="spellStart"/>
      <w:r w:rsidR="0069796D" w:rsidRPr="0069796D">
        <w:rPr>
          <w:rFonts w:ascii="Times New Roman" w:hAnsi="Times New Roman" w:cs="Times New Roman"/>
          <w:bCs/>
        </w:rPr>
        <w:t>Kleinert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A. </w:t>
      </w:r>
      <w:proofErr w:type="spellStart"/>
      <w:r w:rsidR="0069796D" w:rsidRPr="0069796D">
        <w:rPr>
          <w:rFonts w:ascii="Times New Roman" w:hAnsi="Times New Roman" w:cs="Times New Roman"/>
          <w:bCs/>
        </w:rPr>
        <w:t>Gwerkovej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28, 851 04 Bratislava, </w:t>
      </w:r>
      <w:r w:rsidR="00E5025E">
        <w:rPr>
          <w:rFonts w:ascii="Times New Roman" w:hAnsi="Times New Roman" w:cs="Times New Roman"/>
          <w:bCs/>
        </w:rPr>
        <w:t xml:space="preserve">Ing. </w:t>
      </w:r>
      <w:proofErr w:type="spellStart"/>
      <w:r w:rsidR="00E5025E">
        <w:rPr>
          <w:rFonts w:ascii="Times New Roman" w:hAnsi="Times New Roman" w:cs="Times New Roman"/>
          <w:bCs/>
        </w:rPr>
        <w:t>Jiří</w:t>
      </w:r>
      <w:proofErr w:type="spellEnd"/>
      <w:r w:rsidR="00E5025E">
        <w:rPr>
          <w:rFonts w:ascii="Times New Roman" w:hAnsi="Times New Roman" w:cs="Times New Roman"/>
          <w:bCs/>
        </w:rPr>
        <w:t xml:space="preserve"> </w:t>
      </w:r>
      <w:proofErr w:type="spellStart"/>
      <w:r w:rsidR="00E5025E">
        <w:rPr>
          <w:rFonts w:ascii="Times New Roman" w:hAnsi="Times New Roman" w:cs="Times New Roman"/>
          <w:bCs/>
        </w:rPr>
        <w:t>Rusnok</w:t>
      </w:r>
      <w:proofErr w:type="spellEnd"/>
      <w:r w:rsidR="00E5025E">
        <w:rPr>
          <w:rFonts w:ascii="Times New Roman" w:hAnsi="Times New Roman" w:cs="Times New Roman"/>
          <w:bCs/>
        </w:rPr>
        <w:t xml:space="preserve">, </w:t>
      </w:r>
      <w:proofErr w:type="spellStart"/>
      <w:r w:rsidR="00E5025E">
        <w:rPr>
          <w:rFonts w:ascii="Times New Roman" w:hAnsi="Times New Roman" w:cs="Times New Roman"/>
          <w:bCs/>
        </w:rPr>
        <w:t>Pankúchova</w:t>
      </w:r>
      <w:proofErr w:type="spellEnd"/>
      <w:r w:rsidR="00E5025E">
        <w:rPr>
          <w:rFonts w:ascii="Times New Roman" w:hAnsi="Times New Roman" w:cs="Times New Roman"/>
          <w:bCs/>
        </w:rPr>
        <w:t xml:space="preserve"> 3, 851 04 Bratislava, </w:t>
      </w:r>
      <w:r w:rsidR="0069796D" w:rsidRPr="0069796D">
        <w:rPr>
          <w:rFonts w:ascii="Times New Roman" w:hAnsi="Times New Roman" w:cs="Times New Roman"/>
          <w:bCs/>
        </w:rPr>
        <w:t xml:space="preserve">Ing. Eva </w:t>
      </w:r>
      <w:proofErr w:type="spellStart"/>
      <w:r w:rsidR="0069796D" w:rsidRPr="0069796D">
        <w:rPr>
          <w:rFonts w:ascii="Times New Roman" w:hAnsi="Times New Roman" w:cs="Times New Roman"/>
          <w:bCs/>
        </w:rPr>
        <w:t>Majlingová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Mamateyova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10, 851 04 Bratislava, Ing. Ľudmila </w:t>
      </w:r>
      <w:proofErr w:type="spellStart"/>
      <w:r w:rsidR="0069796D" w:rsidRPr="0069796D">
        <w:rPr>
          <w:rFonts w:ascii="Times New Roman" w:hAnsi="Times New Roman" w:cs="Times New Roman"/>
          <w:bCs/>
        </w:rPr>
        <w:t>Tekulová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Šustekova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7, 851 04 Bratislava, Ing. Zdenko </w:t>
      </w:r>
      <w:proofErr w:type="spellStart"/>
      <w:r w:rsidR="0069796D" w:rsidRPr="0069796D">
        <w:rPr>
          <w:rFonts w:ascii="Times New Roman" w:hAnsi="Times New Roman" w:cs="Times New Roman"/>
          <w:bCs/>
        </w:rPr>
        <w:t>Banci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Haanova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18, 851 04 Bratislava, Mgr. Ľuboš </w:t>
      </w:r>
      <w:proofErr w:type="spellStart"/>
      <w:r w:rsidR="0069796D" w:rsidRPr="0069796D">
        <w:rPr>
          <w:rFonts w:ascii="Times New Roman" w:hAnsi="Times New Roman" w:cs="Times New Roman"/>
          <w:bCs/>
        </w:rPr>
        <w:t>Haško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Haanova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16, 851 04 Bratislava, </w:t>
      </w:r>
      <w:bookmarkStart w:id="1" w:name="_Hlk108094596"/>
      <w:r w:rsidR="0069796D" w:rsidRPr="0069796D">
        <w:rPr>
          <w:rFonts w:ascii="Times New Roman" w:hAnsi="Times New Roman" w:cs="Times New Roman"/>
          <w:bCs/>
        </w:rPr>
        <w:t xml:space="preserve">Ing. </w:t>
      </w:r>
      <w:proofErr w:type="spellStart"/>
      <w:r w:rsidR="0069796D" w:rsidRPr="0069796D">
        <w:rPr>
          <w:rFonts w:ascii="Times New Roman" w:hAnsi="Times New Roman" w:cs="Times New Roman"/>
          <w:bCs/>
        </w:rPr>
        <w:t>Robert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</w:t>
      </w:r>
      <w:proofErr w:type="spellStart"/>
      <w:r w:rsidR="0069796D" w:rsidRPr="0069796D">
        <w:rPr>
          <w:rFonts w:ascii="Times New Roman" w:hAnsi="Times New Roman" w:cs="Times New Roman"/>
          <w:bCs/>
        </w:rPr>
        <w:t>Kvasňovský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Haanova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22, 851 04 Bratislava</w:t>
      </w:r>
      <w:bookmarkEnd w:id="1"/>
      <w:r w:rsidR="0069796D" w:rsidRPr="0069796D">
        <w:rPr>
          <w:rFonts w:ascii="Times New Roman" w:hAnsi="Times New Roman" w:cs="Times New Roman"/>
          <w:bCs/>
        </w:rPr>
        <w:t xml:space="preserve">, Ing. Jozef </w:t>
      </w:r>
      <w:proofErr w:type="spellStart"/>
      <w:r w:rsidR="0069796D" w:rsidRPr="0069796D">
        <w:rPr>
          <w:rFonts w:ascii="Times New Roman" w:hAnsi="Times New Roman" w:cs="Times New Roman"/>
          <w:bCs/>
        </w:rPr>
        <w:t>Sedmák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, </w:t>
      </w:r>
      <w:proofErr w:type="spellStart"/>
      <w:r w:rsidR="0069796D" w:rsidRPr="0069796D">
        <w:rPr>
          <w:rFonts w:ascii="Times New Roman" w:hAnsi="Times New Roman" w:cs="Times New Roman"/>
          <w:bCs/>
        </w:rPr>
        <w:t>Haanova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20, 851 04 Bratislava a SME občania, </w:t>
      </w:r>
      <w:proofErr w:type="spellStart"/>
      <w:r w:rsidR="0069796D" w:rsidRPr="0069796D">
        <w:rPr>
          <w:rFonts w:ascii="Times New Roman" w:hAnsi="Times New Roman" w:cs="Times New Roman"/>
          <w:bCs/>
        </w:rPr>
        <w:t>o.z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., </w:t>
      </w:r>
      <w:proofErr w:type="spellStart"/>
      <w:r w:rsidR="0069796D" w:rsidRPr="0069796D">
        <w:rPr>
          <w:rFonts w:ascii="Times New Roman" w:hAnsi="Times New Roman" w:cs="Times New Roman"/>
          <w:bCs/>
        </w:rPr>
        <w:t>Šustekova</w:t>
      </w:r>
      <w:proofErr w:type="spellEnd"/>
      <w:r w:rsidR="0069796D" w:rsidRPr="0069796D">
        <w:rPr>
          <w:rFonts w:ascii="Times New Roman" w:hAnsi="Times New Roman" w:cs="Times New Roman"/>
          <w:bCs/>
        </w:rPr>
        <w:t xml:space="preserve"> 31, 851 04 Bratislava v z. JUDr. Magdaléna Kollárová, predseda</w:t>
      </w:r>
    </w:p>
    <w:sectPr w:rsidR="00734492" w:rsidRPr="0069796D" w:rsidSect="002E5F8B"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63" w:rsidRDefault="00454F63" w:rsidP="00734492">
      <w:pPr>
        <w:spacing w:after="0" w:line="240" w:lineRule="auto"/>
      </w:pPr>
      <w:r>
        <w:separator/>
      </w:r>
    </w:p>
  </w:endnote>
  <w:endnote w:type="continuationSeparator" w:id="0">
    <w:p w:rsidR="00454F63" w:rsidRDefault="00454F63" w:rsidP="0073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92" w:rsidRDefault="00FB47D0" w:rsidP="00734492">
    <w:pPr>
      <w:pStyle w:val="Pta"/>
      <w:jc w:val="right"/>
    </w:pPr>
    <w:r>
      <w:rPr>
        <w:rFonts w:ascii="Times New Roman" w:hAnsi="Times New Roman" w:cs="Times New Roman"/>
        <w:bCs/>
      </w:rPr>
      <w:t>Podpisový</w:t>
    </w:r>
    <w:r w:rsidR="00BC7FD9" w:rsidRPr="00906631">
      <w:rPr>
        <w:rFonts w:ascii="Times New Roman" w:hAnsi="Times New Roman" w:cs="Times New Roman"/>
        <w:bCs/>
      </w:rPr>
      <w:t xml:space="preserve"> hárok č.: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63" w:rsidRDefault="00454F63" w:rsidP="00734492">
      <w:pPr>
        <w:spacing w:after="0" w:line="240" w:lineRule="auto"/>
      </w:pPr>
      <w:r>
        <w:separator/>
      </w:r>
    </w:p>
  </w:footnote>
  <w:footnote w:type="continuationSeparator" w:id="0">
    <w:p w:rsidR="00454F63" w:rsidRDefault="00454F63" w:rsidP="0073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0A9E"/>
    <w:multiLevelType w:val="hybridMultilevel"/>
    <w:tmpl w:val="E6EA26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6"/>
    <w:rsid w:val="00023566"/>
    <w:rsid w:val="000365FF"/>
    <w:rsid w:val="00044DC9"/>
    <w:rsid w:val="00045765"/>
    <w:rsid w:val="000942A4"/>
    <w:rsid w:val="000C7379"/>
    <w:rsid w:val="00100384"/>
    <w:rsid w:val="00111CA8"/>
    <w:rsid w:val="00132289"/>
    <w:rsid w:val="00143D8C"/>
    <w:rsid w:val="001556CE"/>
    <w:rsid w:val="0017282E"/>
    <w:rsid w:val="0019592C"/>
    <w:rsid w:val="001D1451"/>
    <w:rsid w:val="00220A3E"/>
    <w:rsid w:val="00226954"/>
    <w:rsid w:val="002A5B95"/>
    <w:rsid w:val="002B0C12"/>
    <w:rsid w:val="002E5F8B"/>
    <w:rsid w:val="00316C75"/>
    <w:rsid w:val="00320E55"/>
    <w:rsid w:val="00327F1A"/>
    <w:rsid w:val="003810D4"/>
    <w:rsid w:val="003834F3"/>
    <w:rsid w:val="0039399F"/>
    <w:rsid w:val="0040019D"/>
    <w:rsid w:val="00424F20"/>
    <w:rsid w:val="0042687E"/>
    <w:rsid w:val="00452CAB"/>
    <w:rsid w:val="00454F63"/>
    <w:rsid w:val="0047342C"/>
    <w:rsid w:val="004954BC"/>
    <w:rsid w:val="004A7831"/>
    <w:rsid w:val="004F7441"/>
    <w:rsid w:val="005267A8"/>
    <w:rsid w:val="0057481F"/>
    <w:rsid w:val="005E5371"/>
    <w:rsid w:val="005F5483"/>
    <w:rsid w:val="00635142"/>
    <w:rsid w:val="00661B0A"/>
    <w:rsid w:val="00666C54"/>
    <w:rsid w:val="0069796D"/>
    <w:rsid w:val="00706504"/>
    <w:rsid w:val="00734492"/>
    <w:rsid w:val="007B5D90"/>
    <w:rsid w:val="007C7773"/>
    <w:rsid w:val="008069ED"/>
    <w:rsid w:val="00811268"/>
    <w:rsid w:val="00880942"/>
    <w:rsid w:val="008C6D0A"/>
    <w:rsid w:val="008E531D"/>
    <w:rsid w:val="00906631"/>
    <w:rsid w:val="009447EE"/>
    <w:rsid w:val="0095794F"/>
    <w:rsid w:val="009A13F6"/>
    <w:rsid w:val="009C2B45"/>
    <w:rsid w:val="009E28DB"/>
    <w:rsid w:val="00A206B2"/>
    <w:rsid w:val="00A40E02"/>
    <w:rsid w:val="00AC1731"/>
    <w:rsid w:val="00AC4387"/>
    <w:rsid w:val="00B15901"/>
    <w:rsid w:val="00B85180"/>
    <w:rsid w:val="00B9757B"/>
    <w:rsid w:val="00BC7FD9"/>
    <w:rsid w:val="00BD03B6"/>
    <w:rsid w:val="00BD4D72"/>
    <w:rsid w:val="00C032B0"/>
    <w:rsid w:val="00C90FE2"/>
    <w:rsid w:val="00C95705"/>
    <w:rsid w:val="00D07140"/>
    <w:rsid w:val="00D132F7"/>
    <w:rsid w:val="00D768EC"/>
    <w:rsid w:val="00D810E9"/>
    <w:rsid w:val="00D941C8"/>
    <w:rsid w:val="00DB73E8"/>
    <w:rsid w:val="00DD08E2"/>
    <w:rsid w:val="00E0227F"/>
    <w:rsid w:val="00E22978"/>
    <w:rsid w:val="00E5025E"/>
    <w:rsid w:val="00EB2420"/>
    <w:rsid w:val="00EF4732"/>
    <w:rsid w:val="00FA4E77"/>
    <w:rsid w:val="00FB47D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4DC9"/>
    <w:rPr>
      <w:color w:val="0000FF"/>
      <w:u w:val="single"/>
    </w:rPr>
  </w:style>
  <w:style w:type="table" w:styleId="Mriekatabuky">
    <w:name w:val="Table Grid"/>
    <w:basedOn w:val="Normlnatabuka"/>
    <w:uiPriority w:val="59"/>
    <w:rsid w:val="00AC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3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4492"/>
  </w:style>
  <w:style w:type="paragraph" w:styleId="Pta">
    <w:name w:val="footer"/>
    <w:basedOn w:val="Normlny"/>
    <w:link w:val="PtaChar"/>
    <w:uiPriority w:val="99"/>
    <w:unhideWhenUsed/>
    <w:rsid w:val="0073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492"/>
  </w:style>
  <w:style w:type="character" w:styleId="PouitHypertextovPrepojenie">
    <w:name w:val="FollowedHyperlink"/>
    <w:basedOn w:val="Predvolenpsmoodseku"/>
    <w:uiPriority w:val="99"/>
    <w:semiHidden/>
    <w:unhideWhenUsed/>
    <w:rsid w:val="002B0C12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13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4DC9"/>
    <w:rPr>
      <w:color w:val="0000FF"/>
      <w:u w:val="single"/>
    </w:rPr>
  </w:style>
  <w:style w:type="table" w:styleId="Mriekatabuky">
    <w:name w:val="Table Grid"/>
    <w:basedOn w:val="Normlnatabuka"/>
    <w:uiPriority w:val="59"/>
    <w:rsid w:val="00AC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3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4492"/>
  </w:style>
  <w:style w:type="paragraph" w:styleId="Pta">
    <w:name w:val="footer"/>
    <w:basedOn w:val="Normlny"/>
    <w:link w:val="PtaChar"/>
    <w:uiPriority w:val="99"/>
    <w:unhideWhenUsed/>
    <w:rsid w:val="00734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492"/>
  </w:style>
  <w:style w:type="character" w:styleId="PouitHypertextovPrepojenie">
    <w:name w:val="FollowedHyperlink"/>
    <w:basedOn w:val="Predvolenpsmoodseku"/>
    <w:uiPriority w:val="99"/>
    <w:semiHidden/>
    <w:unhideWhenUsed/>
    <w:rsid w:val="002B0C12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13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BA70-0727-4AE5-A9B2-B24024B1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2022-07-09T20:23:00Z</dcterms:created>
  <dcterms:modified xsi:type="dcterms:W3CDTF">2022-07-10T18:50:00Z</dcterms:modified>
</cp:coreProperties>
</file>